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8308" w:type="dxa"/>
        <w:tblLook w:val="04A0" w:firstRow="1" w:lastRow="0" w:firstColumn="1" w:lastColumn="0" w:noHBand="0" w:noVBand="1"/>
      </w:tblPr>
      <w:tblGrid>
        <w:gridCol w:w="1377"/>
        <w:gridCol w:w="1281"/>
        <w:gridCol w:w="1616"/>
        <w:gridCol w:w="928"/>
        <w:gridCol w:w="1336"/>
        <w:gridCol w:w="1336"/>
        <w:gridCol w:w="434"/>
      </w:tblGrid>
      <w:tr w:rsidR="002E6BC1" w:rsidRPr="00414010" w:rsidTr="002E6BC1">
        <w:trPr>
          <w:trHeight w:val="311"/>
        </w:trPr>
        <w:tc>
          <w:tcPr>
            <w:tcW w:w="1377" w:type="dxa"/>
          </w:tcPr>
          <w:p w:rsidR="002E6BC1" w:rsidRPr="00414010" w:rsidRDefault="002E6BC1" w:rsidP="005C1331">
            <w:pPr>
              <w:rPr>
                <w:rFonts w:ascii="NSimSun" w:eastAsia="NSimSun" w:hAnsi="NSimSun"/>
                <w:sz w:val="28"/>
                <w:szCs w:val="28"/>
              </w:rPr>
            </w:pPr>
            <w:r w:rsidRPr="00414010">
              <w:rPr>
                <w:rFonts w:ascii="NSimSun" w:eastAsia="NSimSun" w:hAnsi="NSimSun"/>
                <w:sz w:val="28"/>
                <w:szCs w:val="28"/>
              </w:rPr>
              <w:t xml:space="preserve">38.03.01 </w:t>
            </w:r>
          </w:p>
          <w:p w:rsidR="002E6BC1" w:rsidRPr="00414010" w:rsidRDefault="002E6BC1" w:rsidP="005C1331">
            <w:pPr>
              <w:rPr>
                <w:rFonts w:ascii="NSimSun" w:eastAsia="NSimSun" w:hAnsi="NSimSun"/>
                <w:sz w:val="28"/>
                <w:szCs w:val="28"/>
              </w:rPr>
            </w:pPr>
            <w:r w:rsidRPr="00414010">
              <w:rPr>
                <w:rFonts w:ascii="NSimSun" w:eastAsia="NSimSun" w:hAnsi="NSimSun"/>
                <w:sz w:val="28"/>
                <w:szCs w:val="28"/>
              </w:rPr>
              <w:t>经济学</w:t>
            </w:r>
          </w:p>
        </w:tc>
        <w:tc>
          <w:tcPr>
            <w:tcW w:w="1281" w:type="dxa"/>
          </w:tcPr>
          <w:p w:rsidR="002E6BC1" w:rsidRPr="00414010" w:rsidRDefault="002E6BC1" w:rsidP="005C1331">
            <w:pPr>
              <w:rPr>
                <w:rFonts w:ascii="NSimSun" w:eastAsia="NSimSun" w:hAnsi="NSimSun"/>
                <w:sz w:val="28"/>
                <w:szCs w:val="28"/>
              </w:rPr>
            </w:pPr>
            <w:r w:rsidRPr="00414010">
              <w:rPr>
                <w:rFonts w:ascii="NSimSun" w:eastAsia="NSimSun" w:hAnsi="NSimSun"/>
                <w:sz w:val="28"/>
                <w:szCs w:val="28"/>
              </w:rPr>
              <w:t>金融和信贷</w:t>
            </w:r>
          </w:p>
        </w:tc>
        <w:tc>
          <w:tcPr>
            <w:tcW w:w="1616" w:type="dxa"/>
            <w:shd w:val="clear" w:color="auto" w:fill="FFFFFF" w:themeFill="background1"/>
          </w:tcPr>
          <w:p w:rsidR="002E6BC1" w:rsidRPr="00414010" w:rsidRDefault="002E6BC1" w:rsidP="005C1331">
            <w:pPr>
              <w:rPr>
                <w:rFonts w:ascii="NSimSun" w:eastAsia="NSimSun" w:hAnsi="NSimSun"/>
                <w:sz w:val="28"/>
                <w:szCs w:val="28"/>
              </w:rPr>
            </w:pPr>
            <w:bookmarkStart w:id="0" w:name="_GoBack"/>
            <w:r w:rsidRPr="00414010">
              <w:rPr>
                <w:rFonts w:ascii="NSimSun" w:eastAsia="NSimSun" w:hAnsi="NSimSun"/>
                <w:sz w:val="28"/>
                <w:szCs w:val="28"/>
              </w:rPr>
              <w:t>经济、管理与服务学院</w:t>
            </w:r>
            <w:bookmarkEnd w:id="0"/>
          </w:p>
        </w:tc>
        <w:tc>
          <w:tcPr>
            <w:tcW w:w="928" w:type="dxa"/>
          </w:tcPr>
          <w:p w:rsidR="002E6BC1" w:rsidRPr="00414010" w:rsidRDefault="002E6BC1" w:rsidP="005C1331">
            <w:pPr>
              <w:rPr>
                <w:rFonts w:ascii="NSimSun" w:eastAsia="NSimSun" w:hAnsi="NSimSun"/>
                <w:sz w:val="28"/>
                <w:szCs w:val="28"/>
              </w:rPr>
            </w:pPr>
            <w:r w:rsidRPr="00414010">
              <w:rPr>
                <w:rFonts w:ascii="NSimSun" w:eastAsia="NSimSun" w:hAnsi="NSimSun"/>
                <w:sz w:val="28"/>
                <w:szCs w:val="28"/>
              </w:rPr>
              <w:t>全日制</w:t>
            </w:r>
          </w:p>
        </w:tc>
        <w:tc>
          <w:tcPr>
            <w:tcW w:w="1336" w:type="dxa"/>
          </w:tcPr>
          <w:p w:rsidR="002E6BC1" w:rsidRPr="00414010" w:rsidRDefault="002E6BC1" w:rsidP="005C1331">
            <w:pPr>
              <w:rPr>
                <w:rFonts w:ascii="NSimSun" w:eastAsia="NSimSun" w:hAnsi="NSimSun"/>
                <w:sz w:val="28"/>
                <w:szCs w:val="28"/>
              </w:rPr>
            </w:pPr>
            <w:r w:rsidRPr="00414010">
              <w:rPr>
                <w:rFonts w:ascii="NSimSun" w:eastAsia="NSimSun" w:hAnsi="NSimSun"/>
                <w:sz w:val="28"/>
                <w:szCs w:val="28"/>
              </w:rPr>
              <w:t>四年</w:t>
            </w:r>
          </w:p>
        </w:tc>
        <w:tc>
          <w:tcPr>
            <w:tcW w:w="1336" w:type="dxa"/>
          </w:tcPr>
          <w:p w:rsidR="002E6BC1" w:rsidRPr="00414010" w:rsidRDefault="002E6BC1" w:rsidP="005C1331">
            <w:pPr>
              <w:rPr>
                <w:rFonts w:ascii="NSimSun" w:eastAsia="NSimSun" w:hAnsi="NSimSun"/>
                <w:sz w:val="28"/>
                <w:szCs w:val="28"/>
              </w:rPr>
            </w:pPr>
            <w:r w:rsidRPr="00414010">
              <w:rPr>
                <w:rFonts w:ascii="NSimSun" w:eastAsia="NSimSun" w:hAnsi="NSimSun"/>
                <w:sz w:val="28"/>
                <w:szCs w:val="28"/>
              </w:rPr>
              <w:t>俄语</w:t>
            </w:r>
          </w:p>
        </w:tc>
        <w:tc>
          <w:tcPr>
            <w:tcW w:w="434" w:type="dxa"/>
          </w:tcPr>
          <w:p w:rsidR="002E6BC1" w:rsidRPr="00414010" w:rsidRDefault="002E6BC1" w:rsidP="005C1331">
            <w:pPr>
              <w:rPr>
                <w:rFonts w:ascii="NSimSun" w:eastAsia="NSimSun" w:hAnsi="NSimSun"/>
                <w:sz w:val="28"/>
                <w:szCs w:val="28"/>
              </w:rPr>
            </w:pPr>
          </w:p>
        </w:tc>
      </w:tr>
      <w:tr w:rsidR="002E6BC1" w:rsidRPr="00414010" w:rsidTr="005C1331">
        <w:trPr>
          <w:trHeight w:val="311"/>
        </w:trPr>
        <w:tc>
          <w:tcPr>
            <w:tcW w:w="8308" w:type="dxa"/>
            <w:gridSpan w:val="7"/>
          </w:tcPr>
          <w:p w:rsidR="002E6BC1" w:rsidRPr="00414010" w:rsidRDefault="002E6BC1" w:rsidP="005C1331">
            <w:pPr>
              <w:rPr>
                <w:rFonts w:ascii="NSimSun" w:eastAsia="NSimSun" w:hAnsi="NSimSun"/>
                <w:sz w:val="28"/>
                <w:szCs w:val="28"/>
              </w:rPr>
            </w:pPr>
            <w:r w:rsidRPr="00414010">
              <w:rPr>
                <w:rFonts w:ascii="NSimSun" w:eastAsia="NSimSun" w:hAnsi="NSimSun"/>
                <w:sz w:val="28"/>
                <w:szCs w:val="28"/>
              </w:rPr>
              <w:t>该专业旨在培养金融和信贷领域的高素质人才，使其能够从事结算和经济、分析及金融活动。该专业考虑到了现代信贷和金融市场的需求。超过90%的毕业生在培训领域就业，这证实了该专业的实用性和质量。金融和信贷专业的毕业生在坦波夫州以及俄罗斯其他地区的市场需求量都很大。</w:t>
            </w:r>
          </w:p>
          <w:p w:rsidR="002E6BC1" w:rsidRPr="00414010" w:rsidRDefault="002E6BC1" w:rsidP="005C1331">
            <w:pPr>
              <w:rPr>
                <w:rFonts w:ascii="NSimSun" w:eastAsia="NSimSun" w:hAnsi="NSimSun"/>
                <w:sz w:val="28"/>
                <w:szCs w:val="28"/>
              </w:rPr>
            </w:pPr>
          </w:p>
          <w:p w:rsidR="002E6BC1" w:rsidRPr="00414010" w:rsidRDefault="002E6BC1" w:rsidP="005C1331">
            <w:pPr>
              <w:rPr>
                <w:rFonts w:ascii="NSimSun" w:eastAsia="NSimSun" w:hAnsi="NSimSun"/>
                <w:sz w:val="28"/>
                <w:szCs w:val="28"/>
              </w:rPr>
            </w:pPr>
            <w:r w:rsidRPr="00414010">
              <w:rPr>
                <w:rFonts w:ascii="NSimSun" w:eastAsia="NSimSun" w:hAnsi="NSimSun"/>
                <w:sz w:val="28"/>
                <w:szCs w:val="28"/>
              </w:rPr>
              <w:t>就业方向：经济学家、评估师、金融分析师、贷款专家、商业组织和预算机构的金融服务主管、支付系统专家。</w:t>
            </w:r>
          </w:p>
          <w:p w:rsidR="002E6BC1" w:rsidRPr="00414010" w:rsidRDefault="002E6BC1" w:rsidP="005C1331">
            <w:pPr>
              <w:rPr>
                <w:rFonts w:ascii="NSimSun" w:eastAsia="NSimSun" w:hAnsi="NSimSun"/>
                <w:sz w:val="28"/>
                <w:szCs w:val="28"/>
              </w:rPr>
            </w:pPr>
          </w:p>
          <w:p w:rsidR="002E6BC1" w:rsidRPr="00414010" w:rsidRDefault="002E6BC1" w:rsidP="005C1331">
            <w:pPr>
              <w:rPr>
                <w:rFonts w:ascii="NSimSun" w:eastAsia="NSimSun" w:hAnsi="NSimSun"/>
                <w:sz w:val="28"/>
                <w:szCs w:val="28"/>
              </w:rPr>
            </w:pPr>
            <w:r w:rsidRPr="00414010">
              <w:rPr>
                <w:rFonts w:ascii="NSimSun" w:eastAsia="NSimSun" w:hAnsi="NSimSun"/>
                <w:sz w:val="28"/>
                <w:szCs w:val="28"/>
              </w:rPr>
              <w:t>主修科目：</w:t>
            </w:r>
          </w:p>
          <w:p w:rsidR="002E6BC1" w:rsidRPr="00414010" w:rsidRDefault="002E6BC1" w:rsidP="005C1331">
            <w:pPr>
              <w:rPr>
                <w:rFonts w:ascii="NSimSun" w:eastAsia="NSimSun" w:hAnsi="NSimSun"/>
                <w:sz w:val="28"/>
                <w:szCs w:val="28"/>
              </w:rPr>
            </w:pPr>
            <w:r w:rsidRPr="00414010">
              <w:rPr>
                <w:rFonts w:ascii="NSimSun" w:eastAsia="NSimSun" w:hAnsi="NSimSun"/>
                <w:sz w:val="28"/>
                <w:szCs w:val="28"/>
              </w:rPr>
              <w:t>投资分析</w:t>
            </w:r>
          </w:p>
          <w:p w:rsidR="002E6BC1" w:rsidRPr="00414010" w:rsidRDefault="002E6BC1" w:rsidP="005C1331">
            <w:pPr>
              <w:rPr>
                <w:rFonts w:ascii="NSimSun" w:eastAsia="NSimSun" w:hAnsi="NSimSun"/>
                <w:sz w:val="28"/>
                <w:szCs w:val="28"/>
              </w:rPr>
            </w:pPr>
            <w:r w:rsidRPr="00414010">
              <w:rPr>
                <w:rFonts w:ascii="NSimSun" w:eastAsia="NSimSun" w:hAnsi="NSimSun"/>
                <w:sz w:val="28"/>
                <w:szCs w:val="28"/>
              </w:rPr>
              <w:t>金融管理</w:t>
            </w:r>
          </w:p>
          <w:p w:rsidR="002E6BC1" w:rsidRPr="00414010" w:rsidRDefault="002E6BC1" w:rsidP="005C1331">
            <w:pPr>
              <w:rPr>
                <w:rFonts w:ascii="NSimSun" w:eastAsia="NSimSun" w:hAnsi="NSimSun"/>
                <w:sz w:val="28"/>
                <w:szCs w:val="28"/>
              </w:rPr>
            </w:pPr>
            <w:r w:rsidRPr="00414010">
              <w:rPr>
                <w:rFonts w:ascii="NSimSun" w:eastAsia="NSimSun" w:hAnsi="NSimSun"/>
                <w:sz w:val="28"/>
                <w:szCs w:val="28"/>
              </w:rPr>
              <w:t>商业银行的活动组织</w:t>
            </w:r>
          </w:p>
        </w:tc>
      </w:tr>
    </w:tbl>
    <w:p w:rsidR="00383F03" w:rsidRDefault="00383F03"/>
    <w:sectPr w:rsidR="00383F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NSimSun">
    <w:altName w:val="新宋体"/>
    <w:panose1 w:val="02010609030101010101"/>
    <w:charset w:val="86"/>
    <w:family w:val="modern"/>
    <w:pitch w:val="fixed"/>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CC2"/>
    <w:rsid w:val="001E2DD2"/>
    <w:rsid w:val="002E6BC1"/>
    <w:rsid w:val="00383F03"/>
    <w:rsid w:val="00840F38"/>
    <w:rsid w:val="00C02CC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1E7F7-4545-44AB-AC34-A360035D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6BC1"/>
    <w:pPr>
      <w:spacing w:after="0" w:line="240" w:lineRule="auto"/>
    </w:pPr>
    <w:rPr>
      <w:kern w:val="2"/>
      <w:sz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215</Characters>
  <Application>Microsoft Office Word</Application>
  <DocSecurity>0</DocSecurity>
  <Lines>1</Lines>
  <Paragraphs>1</Paragraphs>
  <ScaleCrop>false</ScaleCrop>
  <Company>SPecialiST RePack</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2</cp:revision>
  <dcterms:created xsi:type="dcterms:W3CDTF">2024-03-11T12:13:00Z</dcterms:created>
  <dcterms:modified xsi:type="dcterms:W3CDTF">2024-03-11T12:13:00Z</dcterms:modified>
</cp:coreProperties>
</file>